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DB" w:rsidRPr="00FD28BB" w:rsidRDefault="00FD28BB" w:rsidP="00FD28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D28BB">
        <w:rPr>
          <w:rFonts w:ascii="Times New Roman" w:hAnsi="Times New Roman" w:cs="Times New Roman"/>
          <w:b/>
          <w:sz w:val="24"/>
          <w:szCs w:val="24"/>
          <w:lang w:val="lv-LV"/>
        </w:rPr>
        <w:t>STATISTIKA</w:t>
      </w:r>
    </w:p>
    <w:p w:rsidR="00AD1062" w:rsidRPr="008340B1" w:rsidRDefault="00AD1062" w:rsidP="00D107D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340B1">
        <w:rPr>
          <w:rFonts w:ascii="Times New Roman" w:hAnsi="Times New Roman" w:cs="Times New Roman"/>
          <w:b/>
          <w:sz w:val="24"/>
          <w:szCs w:val="24"/>
          <w:lang w:val="lv-LV"/>
        </w:rPr>
        <w:t>Bērnu skaits ārpusģimenes aprūpē, 2011</w:t>
      </w:r>
    </w:p>
    <w:p w:rsidR="00AD1062" w:rsidRDefault="00AD1062" w:rsidP="00D107DB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3E0A43">
            <wp:extent cx="5638800" cy="26280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23" cy="262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5043D" w:rsidRPr="007D78BA" w:rsidRDefault="00AD1062" w:rsidP="00D107DB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7D78BA">
        <w:rPr>
          <w:rFonts w:ascii="Times New Roman" w:hAnsi="Times New Roman" w:cs="Times New Roman"/>
          <w:sz w:val="24"/>
          <w:szCs w:val="24"/>
          <w:lang w:val="lv-LV"/>
        </w:rPr>
        <w:t xml:space="preserve">lgstoša sociālā aprūpe un sociālā rehabilitācija bērniem </w:t>
      </w:r>
      <w:r w:rsidRPr="007D78BA">
        <w:rPr>
          <w:rFonts w:ascii="Times New Roman" w:hAnsi="Times New Roman" w:cs="Times New Roman"/>
          <w:b/>
          <w:sz w:val="24"/>
          <w:szCs w:val="24"/>
          <w:lang w:val="lv-LV"/>
        </w:rPr>
        <w:t>no 2 gadu vecuma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340B1">
        <w:rPr>
          <w:rFonts w:ascii="Times New Roman" w:hAnsi="Times New Roman" w:cs="Times New Roman"/>
          <w:b/>
          <w:sz w:val="24"/>
          <w:szCs w:val="24"/>
          <w:lang w:val="lv-LV"/>
        </w:rPr>
        <w:t>tiek nodrošināta 43 ārpusģimenes aprūpes iestādēs</w:t>
      </w:r>
      <w:r>
        <w:rPr>
          <w:rFonts w:ascii="Times New Roman" w:hAnsi="Times New Roman" w:cs="Times New Roman"/>
          <w:sz w:val="24"/>
          <w:szCs w:val="24"/>
          <w:lang w:val="lv-LV"/>
        </w:rPr>
        <w:t>, kuras ir  p</w:t>
      </w:r>
      <w:r w:rsidR="00D107DB" w:rsidRPr="007D78BA">
        <w:rPr>
          <w:rFonts w:ascii="Times New Roman" w:hAnsi="Times New Roman" w:cs="Times New Roman"/>
          <w:sz w:val="24"/>
          <w:szCs w:val="24"/>
          <w:lang w:val="lv-LV"/>
        </w:rPr>
        <w:t xml:space="preserve">ašvaldību </w:t>
      </w:r>
      <w:proofErr w:type="spellStart"/>
      <w:r w:rsidR="00D107DB" w:rsidRPr="007D78BA">
        <w:rPr>
          <w:rFonts w:ascii="Times New Roman" w:hAnsi="Times New Roman" w:cs="Times New Roman"/>
          <w:sz w:val="24"/>
          <w:szCs w:val="24"/>
          <w:lang w:val="lv-LV"/>
        </w:rPr>
        <w:t>pārziņā</w:t>
      </w:r>
      <w:proofErr w:type="spellEnd"/>
      <w:r w:rsidR="00FD28BB">
        <w:rPr>
          <w:rFonts w:ascii="Times New Roman" w:hAnsi="Times New Roman" w:cs="Times New Roman"/>
          <w:sz w:val="24"/>
          <w:szCs w:val="24"/>
          <w:lang w:val="lv-LV"/>
        </w:rPr>
        <w:t xml:space="preserve">, tajā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skaitā nevalstisko organizāciju iestādēs. </w:t>
      </w:r>
      <w:r w:rsidR="00605431" w:rsidRPr="007D78BA">
        <w:rPr>
          <w:rFonts w:ascii="Times New Roman" w:hAnsi="Times New Roman" w:cs="Times New Roman"/>
          <w:sz w:val="24"/>
          <w:szCs w:val="24"/>
          <w:lang w:val="lv-LV"/>
        </w:rPr>
        <w:t>Aptuveni 15 no šīm iestādēm bērnu skaits ir vidēji no 40 – 70, pārējās iestādēs bērnu skaits</w:t>
      </w:r>
      <w:r w:rsidR="00FD28BB" w:rsidRPr="00FD28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D28BB" w:rsidRPr="007D78BA">
        <w:rPr>
          <w:rFonts w:ascii="Times New Roman" w:hAnsi="Times New Roman" w:cs="Times New Roman"/>
          <w:sz w:val="24"/>
          <w:szCs w:val="24"/>
          <w:lang w:val="lv-LV"/>
        </w:rPr>
        <w:t>ir mazāks</w:t>
      </w:r>
      <w:r w:rsidR="00605431" w:rsidRPr="007D78B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D28BB"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footnoteReference w:id="1"/>
      </w:r>
    </w:p>
    <w:p w:rsidR="00FD28BB" w:rsidRDefault="008340B1" w:rsidP="00FD28BB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</w:t>
      </w:r>
      <w:r w:rsidRPr="007D78BA">
        <w:rPr>
          <w:rFonts w:ascii="Times New Roman" w:hAnsi="Times New Roman" w:cs="Times New Roman"/>
          <w:sz w:val="24"/>
          <w:szCs w:val="24"/>
          <w:lang w:val="lv-LV"/>
        </w:rPr>
        <w:t xml:space="preserve">āreņiem un bez vecāku gādības palikušiem bērniem </w:t>
      </w:r>
      <w:r w:rsidRPr="008340B1">
        <w:rPr>
          <w:rFonts w:ascii="Times New Roman" w:hAnsi="Times New Roman" w:cs="Times New Roman"/>
          <w:b/>
          <w:sz w:val="24"/>
          <w:szCs w:val="24"/>
          <w:lang w:val="lv-LV"/>
        </w:rPr>
        <w:t>vecumā līdz 2 gadiem un bērniem ar garīgās un fiziskās attīstības traucējumiem līdz 18 gadu vecumam</w:t>
      </w:r>
      <w:r w:rsidRPr="007D78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aprūpe tiek nodrošināta </w:t>
      </w:r>
      <w:r w:rsidR="00605431" w:rsidRPr="008340B1">
        <w:rPr>
          <w:rFonts w:ascii="Times New Roman" w:hAnsi="Times New Roman" w:cs="Times New Roman"/>
          <w:b/>
          <w:sz w:val="24"/>
          <w:szCs w:val="24"/>
          <w:lang w:val="lv-LV"/>
        </w:rPr>
        <w:t>6</w:t>
      </w:r>
      <w:r w:rsidRPr="008340B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valsts sociālās aprūpes centros</w:t>
      </w:r>
      <w:r w:rsidR="00AD1062" w:rsidRPr="008340B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AD1062"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footnoteReference w:id="2"/>
      </w:r>
    </w:p>
    <w:p w:rsidR="008340B1" w:rsidRPr="008340B1" w:rsidRDefault="008340B1" w:rsidP="008340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340B1">
        <w:rPr>
          <w:rFonts w:ascii="Times New Roman" w:hAnsi="Times New Roman" w:cs="Times New Roman"/>
          <w:b/>
          <w:sz w:val="24"/>
          <w:szCs w:val="24"/>
          <w:lang w:val="lv-LV"/>
        </w:rPr>
        <w:t>Bērnu līdz 3 gadiem skaits ārpusģimenes aprūpē 2011.gadā</w:t>
      </w:r>
    </w:p>
    <w:p w:rsidR="008340B1" w:rsidRPr="008340B1" w:rsidRDefault="008340B1" w:rsidP="00FD28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340B1" w:rsidRDefault="008340B1" w:rsidP="008340B1">
      <w:pPr>
        <w:spacing w:line="240" w:lineRule="auto"/>
        <w:jc w:val="center"/>
        <w:rPr>
          <w:b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6FDCDD" wp14:editId="1078DEA8">
            <wp:extent cx="3289550" cy="223817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073" cy="223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340B1" w:rsidRDefault="008340B1" w:rsidP="008340B1">
      <w:pPr>
        <w:spacing w:line="240" w:lineRule="auto"/>
        <w:jc w:val="center"/>
        <w:rPr>
          <w:b/>
          <w:lang w:val="lv-LV"/>
        </w:rPr>
      </w:pPr>
    </w:p>
    <w:p w:rsidR="00A47ED3" w:rsidRDefault="00A47ED3" w:rsidP="008340B1">
      <w:pPr>
        <w:spacing w:line="240" w:lineRule="auto"/>
        <w:jc w:val="center"/>
        <w:rPr>
          <w:b/>
          <w:lang w:val="lv-LV"/>
        </w:rPr>
      </w:pPr>
    </w:p>
    <w:p w:rsidR="008340B1" w:rsidRPr="008340B1" w:rsidRDefault="008340B1" w:rsidP="008340B1">
      <w:pPr>
        <w:spacing w:line="240" w:lineRule="auto"/>
        <w:jc w:val="center"/>
        <w:rPr>
          <w:b/>
          <w:lang w:val="lv-LV"/>
        </w:rPr>
      </w:pPr>
      <w:r>
        <w:rPr>
          <w:b/>
          <w:lang w:val="lv-LV"/>
        </w:rPr>
        <w:t>ADOPCIJA</w:t>
      </w:r>
      <w:r w:rsidR="00A47ED3">
        <w:rPr>
          <w:rStyle w:val="FootnoteReference"/>
          <w:b/>
          <w:lang w:val="lv-LV"/>
        </w:rPr>
        <w:footnoteReference w:id="3"/>
      </w:r>
    </w:p>
    <w:tbl>
      <w:tblPr>
        <w:tblW w:w="77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980"/>
        <w:gridCol w:w="1980"/>
        <w:gridCol w:w="1980"/>
      </w:tblGrid>
      <w:tr w:rsidR="008340B1" w:rsidRPr="008340B1" w:rsidTr="00E23377">
        <w:trPr>
          <w:trHeight w:val="388"/>
        </w:trPr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E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0B1" w:rsidRPr="00E23377" w:rsidRDefault="008340B1" w:rsidP="008340B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E23377">
              <w:rPr>
                <w:rFonts w:ascii="Calibri" w:eastAsia="Times New Roman" w:hAnsi="Calibri" w:cs="Calibri"/>
                <w:bCs/>
                <w:color w:val="FFFFFF" w:themeColor="light1"/>
                <w:kern w:val="24"/>
                <w:sz w:val="32"/>
                <w:szCs w:val="32"/>
                <w:lang w:val="lv-LV"/>
              </w:rPr>
              <w:t>Adopcija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E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0B1" w:rsidRPr="00E23377" w:rsidRDefault="008340B1" w:rsidP="008340B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23377">
              <w:rPr>
                <w:rFonts w:ascii="Calibri" w:eastAsia="Times New Roman" w:hAnsi="Calibri" w:cs="Calibri"/>
                <w:bCs/>
                <w:color w:val="FFFFFF" w:themeColor="light1"/>
                <w:kern w:val="24"/>
                <w:sz w:val="32"/>
                <w:szCs w:val="32"/>
              </w:rPr>
              <w:t>2009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E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0B1" w:rsidRPr="00E23377" w:rsidRDefault="008340B1" w:rsidP="0083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23377">
              <w:rPr>
                <w:rFonts w:ascii="Calibri" w:eastAsia="Times New Roman" w:hAnsi="Calibri" w:cs="Calibri"/>
                <w:bCs/>
                <w:color w:val="FFFFFF" w:themeColor="light1"/>
                <w:kern w:val="24"/>
                <w:sz w:val="32"/>
                <w:szCs w:val="32"/>
              </w:rPr>
              <w:t>2010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E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0B1" w:rsidRPr="00E23377" w:rsidRDefault="008340B1" w:rsidP="0083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23377">
              <w:rPr>
                <w:rFonts w:ascii="Calibri" w:eastAsia="Calibri" w:hAnsi="Calibri" w:cs="Calibri"/>
                <w:bCs/>
                <w:color w:val="FFFFFF" w:themeColor="light1"/>
                <w:kern w:val="24"/>
                <w:sz w:val="32"/>
                <w:szCs w:val="32"/>
                <w:lang w:val="lv-LV"/>
              </w:rPr>
              <w:t>2011</w:t>
            </w:r>
          </w:p>
        </w:tc>
      </w:tr>
      <w:tr w:rsidR="008340B1" w:rsidRPr="008340B1" w:rsidTr="00E23377">
        <w:trPr>
          <w:trHeight w:val="447"/>
        </w:trPr>
        <w:tc>
          <w:tcPr>
            <w:tcW w:w="18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E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0B1" w:rsidRPr="00E23377" w:rsidRDefault="008340B1" w:rsidP="008340B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E23377">
              <w:rPr>
                <w:rFonts w:ascii="Calibri" w:eastAsia="Times New Roman" w:hAnsi="Calibri" w:cs="Calibri"/>
                <w:bCs/>
                <w:color w:val="FFFFFF" w:themeColor="light1"/>
                <w:kern w:val="24"/>
                <w:sz w:val="32"/>
                <w:szCs w:val="32"/>
              </w:rPr>
              <w:t>vietējā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F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0B1" w:rsidRPr="00E23377" w:rsidRDefault="008340B1" w:rsidP="0083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2337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2"/>
                <w:szCs w:val="32"/>
              </w:rPr>
              <w:t>105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F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0B1" w:rsidRPr="00E23377" w:rsidRDefault="008340B1" w:rsidP="0083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2337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2"/>
                <w:szCs w:val="32"/>
              </w:rPr>
              <w:t>99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F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0B1" w:rsidRPr="00E23377" w:rsidRDefault="008340B1" w:rsidP="0083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23377">
              <w:rPr>
                <w:rFonts w:ascii="Calibri" w:eastAsia="Calibri" w:hAnsi="Calibri" w:cs="Calibri"/>
                <w:b/>
                <w:bCs/>
                <w:color w:val="000000" w:themeColor="dark1"/>
                <w:kern w:val="24"/>
                <w:sz w:val="32"/>
                <w:szCs w:val="32"/>
                <w:lang w:val="lv-LV"/>
              </w:rPr>
              <w:t>128</w:t>
            </w:r>
          </w:p>
        </w:tc>
      </w:tr>
      <w:tr w:rsidR="008340B1" w:rsidRPr="008340B1" w:rsidTr="00E23377">
        <w:trPr>
          <w:trHeight w:val="415"/>
        </w:trPr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E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0B1" w:rsidRPr="00E23377" w:rsidRDefault="008340B1" w:rsidP="008340B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E23377">
              <w:rPr>
                <w:rFonts w:ascii="Calibri" w:eastAsia="Times New Roman" w:hAnsi="Calibri" w:cs="Calibri"/>
                <w:bCs/>
                <w:color w:val="FFFFFF" w:themeColor="light1"/>
                <w:kern w:val="24"/>
                <w:sz w:val="32"/>
                <w:szCs w:val="32"/>
              </w:rPr>
              <w:t>ārvalstu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0B1" w:rsidRPr="00E23377" w:rsidRDefault="008340B1" w:rsidP="0083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2337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2"/>
                <w:szCs w:val="32"/>
              </w:rPr>
              <w:t>141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0B1" w:rsidRPr="00E23377" w:rsidRDefault="008340B1" w:rsidP="0083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23377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32"/>
                <w:szCs w:val="32"/>
              </w:rPr>
              <w:t>136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40B1" w:rsidRPr="00E23377" w:rsidRDefault="008340B1" w:rsidP="00834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23377">
              <w:rPr>
                <w:rFonts w:ascii="Calibri" w:eastAsia="Calibri" w:hAnsi="Calibri" w:cs="Calibri"/>
                <w:b/>
                <w:bCs/>
                <w:color w:val="000000" w:themeColor="dark1"/>
                <w:kern w:val="24"/>
                <w:sz w:val="32"/>
                <w:szCs w:val="32"/>
                <w:lang w:val="lv-LV"/>
              </w:rPr>
              <w:t>131</w:t>
            </w:r>
          </w:p>
        </w:tc>
      </w:tr>
    </w:tbl>
    <w:p w:rsidR="008340B1" w:rsidRDefault="008340B1" w:rsidP="008340B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D3550A" w:rsidRPr="008340B1" w:rsidRDefault="008340B1" w:rsidP="008340B1">
      <w:pPr>
        <w:spacing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lv-LV"/>
        </w:rPr>
      </w:pPr>
      <w:r w:rsidRPr="008340B1">
        <w:rPr>
          <w:rFonts w:ascii="Times New Roman" w:hAnsi="Times New Roman" w:cs="Times New Roman"/>
          <w:b/>
          <w:sz w:val="28"/>
          <w:szCs w:val="28"/>
          <w:lang w:val="lv-LV"/>
        </w:rPr>
        <w:t>Bērnu aprūpes izmaksas</w:t>
      </w:r>
    </w:p>
    <w:p w:rsidR="0016503B" w:rsidRPr="007D78BA" w:rsidRDefault="0016503B" w:rsidP="00F5043D">
      <w:pPr>
        <w:pStyle w:val="NormalWeb"/>
        <w:jc w:val="both"/>
        <w:rPr>
          <w:rStyle w:val="Strong"/>
          <w:lang w:val="lv-LV"/>
        </w:rPr>
      </w:pPr>
      <w:r w:rsidRPr="007D78BA">
        <w:rPr>
          <w:rStyle w:val="Strong"/>
          <w:lang w:val="lv-LV"/>
        </w:rPr>
        <w:t>Aizbildnība</w:t>
      </w:r>
    </w:p>
    <w:p w:rsidR="00AD1062" w:rsidRDefault="0092568F" w:rsidP="007D78BA">
      <w:pPr>
        <w:pStyle w:val="NormalWeb"/>
        <w:rPr>
          <w:rStyle w:val="Strong"/>
          <w:b w:val="0"/>
          <w:bCs w:val="0"/>
          <w:lang w:val="lv-LV"/>
        </w:rPr>
      </w:pPr>
      <w:r w:rsidRPr="007D78BA">
        <w:rPr>
          <w:rStyle w:val="Strong"/>
          <w:b w:val="0"/>
          <w:lang w:val="lv-LV"/>
        </w:rPr>
        <w:t>Valsts izmaksātā a</w:t>
      </w:r>
      <w:r w:rsidR="00F5043D" w:rsidRPr="007D78BA">
        <w:rPr>
          <w:rStyle w:val="Strong"/>
          <w:b w:val="0"/>
          <w:lang w:val="lv-LV"/>
        </w:rPr>
        <w:t>tlīdzība par aizbildņa pienākumu pildīšanu ir 38 lati mēnesī</w:t>
      </w:r>
      <w:r w:rsidR="00F5043D" w:rsidRPr="007D78BA">
        <w:rPr>
          <w:b/>
          <w:lang w:val="lv-LV"/>
        </w:rPr>
        <w:t xml:space="preserve"> </w:t>
      </w:r>
      <w:r w:rsidR="00F5043D" w:rsidRPr="007D78BA">
        <w:rPr>
          <w:lang w:val="lv-LV"/>
        </w:rPr>
        <w:t>neatkarīgi no aizbildnībā esošo bērnu skaita.</w:t>
      </w:r>
      <w:r w:rsidRPr="007D78BA">
        <w:rPr>
          <w:lang w:val="lv-LV"/>
        </w:rPr>
        <w:br/>
      </w:r>
      <w:r w:rsidRPr="007D78BA">
        <w:rPr>
          <w:rStyle w:val="Strong"/>
          <w:b w:val="0"/>
          <w:lang w:val="lv-LV"/>
        </w:rPr>
        <w:t>Valsts p</w:t>
      </w:r>
      <w:r w:rsidR="0016503B" w:rsidRPr="007D78BA">
        <w:rPr>
          <w:rStyle w:val="Strong"/>
          <w:b w:val="0"/>
          <w:lang w:val="lv-LV"/>
        </w:rPr>
        <w:t>abalsta aizbildnim par bērna uzturēšanu apmērs ir 32 lati mēnesī</w:t>
      </w:r>
      <w:r w:rsidR="007D78BA">
        <w:rPr>
          <w:rStyle w:val="Strong"/>
          <w:b w:val="0"/>
          <w:lang w:val="lv-LV"/>
        </w:rPr>
        <w:t xml:space="preserve"> par katru bērnu.</w:t>
      </w:r>
    </w:p>
    <w:p w:rsidR="00E23377" w:rsidRDefault="0092568F" w:rsidP="00E23377">
      <w:pPr>
        <w:pStyle w:val="NormalWeb"/>
        <w:rPr>
          <w:rStyle w:val="Strong"/>
          <w:b w:val="0"/>
          <w:bCs w:val="0"/>
          <w:lang w:val="lv-LV"/>
        </w:rPr>
      </w:pPr>
      <w:r w:rsidRPr="007D78BA">
        <w:rPr>
          <w:rStyle w:val="Strong"/>
          <w:lang w:val="lv-LV"/>
        </w:rPr>
        <w:t>Audžuģimenes</w:t>
      </w:r>
    </w:p>
    <w:p w:rsidR="00D3550A" w:rsidRPr="007D78BA" w:rsidRDefault="0092568F" w:rsidP="00E23377">
      <w:pPr>
        <w:pStyle w:val="NormalWeb"/>
        <w:rPr>
          <w:lang w:val="lv-LV"/>
        </w:rPr>
      </w:pPr>
      <w:r w:rsidRPr="007D78BA">
        <w:rPr>
          <w:rStyle w:val="Strong"/>
          <w:b w:val="0"/>
          <w:lang w:val="lv-LV"/>
        </w:rPr>
        <w:t>Valsts izmaksātās a</w:t>
      </w:r>
      <w:r w:rsidR="00D3550A" w:rsidRPr="007D78BA">
        <w:rPr>
          <w:rStyle w:val="Strong"/>
          <w:b w:val="0"/>
          <w:lang w:val="lv-LV"/>
        </w:rPr>
        <w:t>tlīdzības par audžuģimenes pienākumu pildīšanu apmērs ir 80 lati mēnesī</w:t>
      </w:r>
      <w:r w:rsidR="00D3550A" w:rsidRPr="007D78BA">
        <w:rPr>
          <w:lang w:val="lv-LV"/>
        </w:rPr>
        <w:t xml:space="preserve"> neatkarīgi no tai au</w:t>
      </w:r>
      <w:r w:rsidR="00E23377">
        <w:rPr>
          <w:lang w:val="lv-LV"/>
        </w:rPr>
        <w:t xml:space="preserve">dzināšanā nodoto bērnu skaita. </w:t>
      </w:r>
      <w:r w:rsidR="0016503B" w:rsidRPr="007D78BA">
        <w:rPr>
          <w:lang w:val="lv-LV"/>
        </w:rPr>
        <w:t xml:space="preserve">Pašvaldība izmaksā  </w:t>
      </w:r>
      <w:r w:rsidR="008340B1">
        <w:rPr>
          <w:lang w:val="lv-LV"/>
        </w:rPr>
        <w:t>pabalstu</w:t>
      </w:r>
      <w:r w:rsidR="0016503B" w:rsidRPr="007D78BA">
        <w:rPr>
          <w:lang w:val="lv-LV"/>
        </w:rPr>
        <w:t xml:space="preserve"> bērna uzturam, mēnesī</w:t>
      </w:r>
      <w:r w:rsidRPr="007D78BA">
        <w:rPr>
          <w:lang w:val="lv-LV"/>
        </w:rPr>
        <w:t xml:space="preserve"> tas</w:t>
      </w:r>
      <w:r w:rsidR="0016503B" w:rsidRPr="007D78BA">
        <w:rPr>
          <w:lang w:val="lv-LV"/>
        </w:rPr>
        <w:t xml:space="preserve"> nedrīkst būt mazāks par Ministru kabineta noteikto minim</w:t>
      </w:r>
      <w:r w:rsidR="008340B1">
        <w:rPr>
          <w:lang w:val="lv-LV"/>
        </w:rPr>
        <w:t>ālo uzturlīdzekļu apmēru bērnam, vidēji no 60 -150 LVL mēnesī par katru bērnu.</w:t>
      </w:r>
      <w:r w:rsidR="000F3C05">
        <w:rPr>
          <w:lang w:val="lv-LV"/>
        </w:rPr>
        <w:t xml:space="preserve"> </w:t>
      </w:r>
      <w:r w:rsidRPr="007D78BA">
        <w:rPr>
          <w:lang w:val="lv-LV"/>
        </w:rPr>
        <w:t xml:space="preserve">Vienlaikus pašvaldība izmaksā </w:t>
      </w:r>
      <w:r w:rsidR="008340B1">
        <w:rPr>
          <w:lang w:val="lv-LV"/>
        </w:rPr>
        <w:t>pabalstu</w:t>
      </w:r>
      <w:r w:rsidR="0016503B" w:rsidRPr="007D78BA">
        <w:rPr>
          <w:lang w:val="lv-LV"/>
        </w:rPr>
        <w:t xml:space="preserve"> apģē</w:t>
      </w:r>
      <w:r w:rsidR="008340B1">
        <w:rPr>
          <w:lang w:val="lv-LV"/>
        </w:rPr>
        <w:t>rba un mīkstā inventāra iegādei</w:t>
      </w:r>
      <w:r w:rsidR="0016503B" w:rsidRPr="007D78BA">
        <w:rPr>
          <w:lang w:val="lv-LV"/>
        </w:rPr>
        <w:t>. Minētā pabalsta vietā pašvaldība var izsniegt apģērbu, apavus un citas bērnam nepieciešamas lietas.</w:t>
      </w:r>
      <w:r w:rsidR="00E23377">
        <w:rPr>
          <w:lang w:val="lv-LV"/>
        </w:rPr>
        <w:t xml:space="preserve"> </w:t>
      </w:r>
      <w:r w:rsidRPr="007D78BA">
        <w:rPr>
          <w:lang w:val="lv-LV"/>
        </w:rPr>
        <w:t>Papildus audžuģimenes var saņemt 8 latus</w:t>
      </w:r>
      <w:r w:rsidR="00D3550A" w:rsidRPr="007D78BA">
        <w:rPr>
          <w:lang w:val="lv-LV"/>
        </w:rPr>
        <w:t xml:space="preserve"> ģimenes </w:t>
      </w:r>
      <w:r w:rsidRPr="007D78BA">
        <w:rPr>
          <w:lang w:val="lv-LV"/>
        </w:rPr>
        <w:t>valsts pabalstu un, ja bērns ir invalīds valstī noteikto pabalsta apmēru par bērna invalīda aprūpi</w:t>
      </w:r>
    </w:p>
    <w:p w:rsidR="0092568F" w:rsidRDefault="008340B1" w:rsidP="00D107D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Institūcijas</w:t>
      </w:r>
      <w:r w:rsidR="00E2337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(pašvaldību institūcijās izmaksas uz 1 bērnu mēnesī vidēji ir  500 LVL, valsts institūcijās vairāk kā 500 LVL)</w:t>
      </w:r>
    </w:p>
    <w:p w:rsidR="000F3C05" w:rsidRPr="007D78BA" w:rsidRDefault="00E23377" w:rsidP="00D107D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r>
        <w:rPr>
          <w:noProof/>
        </w:rPr>
        <w:drawing>
          <wp:inline distT="0" distB="0" distL="0" distR="0" wp14:anchorId="1E976BB0" wp14:editId="320B0DB0">
            <wp:extent cx="3895725" cy="28194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6267" cy="281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3C05" w:rsidRPr="007D78BA" w:rsidSect="00BB6CD4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D4" w:rsidRDefault="00A25AD4" w:rsidP="00FD28BB">
      <w:pPr>
        <w:spacing w:after="0" w:line="240" w:lineRule="auto"/>
      </w:pPr>
      <w:r>
        <w:separator/>
      </w:r>
    </w:p>
  </w:endnote>
  <w:endnote w:type="continuationSeparator" w:id="0">
    <w:p w:rsidR="00A25AD4" w:rsidRDefault="00A25AD4" w:rsidP="00FD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D4" w:rsidRDefault="00A25AD4" w:rsidP="00FD28BB">
      <w:pPr>
        <w:spacing w:after="0" w:line="240" w:lineRule="auto"/>
      </w:pPr>
      <w:r>
        <w:separator/>
      </w:r>
    </w:p>
  </w:footnote>
  <w:footnote w:type="continuationSeparator" w:id="0">
    <w:p w:rsidR="00A25AD4" w:rsidRDefault="00A25AD4" w:rsidP="00FD28BB">
      <w:pPr>
        <w:spacing w:after="0" w:line="240" w:lineRule="auto"/>
      </w:pPr>
      <w:r>
        <w:continuationSeparator/>
      </w:r>
    </w:p>
  </w:footnote>
  <w:footnote w:id="1">
    <w:p w:rsidR="00A25AD4" w:rsidRDefault="00A25A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Aktuālā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par bērnu </w:t>
      </w:r>
      <w:proofErr w:type="spellStart"/>
      <w:r>
        <w:t>ārpusģimenes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iestādēm</w:t>
      </w:r>
      <w:proofErr w:type="spellEnd"/>
      <w:r>
        <w:t xml:space="preserve"> un </w:t>
      </w:r>
      <w:proofErr w:type="spellStart"/>
      <w:r>
        <w:t>krīzes</w:t>
      </w:r>
      <w:proofErr w:type="spellEnd"/>
      <w:r>
        <w:t xml:space="preserve"> </w:t>
      </w:r>
      <w:proofErr w:type="spellStart"/>
      <w:r>
        <w:t>centriem</w:t>
      </w:r>
      <w:proofErr w:type="spellEnd"/>
      <w:r>
        <w:t xml:space="preserve"> </w:t>
      </w:r>
      <w:hyperlink r:id="rId1" w:history="1">
        <w:r w:rsidRPr="003F0F29">
          <w:rPr>
            <w:rStyle w:val="Hyperlink"/>
          </w:rPr>
          <w:t>http://www.bti.gov.lv/lat/arpusgimenes_aprupe/ilgstosas_socialas_aprupes_iestades_un_socialas_rehabilitacijas_institucijas_un_krizes_centri/?doc=2476&amp;page</w:t>
        </w:r>
      </w:hyperlink>
      <w:r w:rsidRPr="00FD28BB">
        <w:t>=</w:t>
      </w:r>
    </w:p>
    <w:p w:rsidR="00A25AD4" w:rsidRPr="00FD28BB" w:rsidRDefault="00A25AD4">
      <w:pPr>
        <w:pStyle w:val="FootnoteText"/>
        <w:rPr>
          <w:lang w:val="lv-LV"/>
        </w:rPr>
      </w:pPr>
    </w:p>
  </w:footnote>
  <w:footnote w:id="2">
    <w:p w:rsidR="00A25AD4" w:rsidRPr="00AD1062" w:rsidRDefault="00A25AD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Labklājības</w:t>
      </w:r>
      <w:proofErr w:type="spellEnd"/>
      <w:r>
        <w:t xml:space="preserve"> </w:t>
      </w:r>
      <w:proofErr w:type="spellStart"/>
      <w:r>
        <w:t>ministrijas</w:t>
      </w:r>
      <w:proofErr w:type="spellEnd"/>
      <w:r>
        <w:t xml:space="preserve"> </w:t>
      </w:r>
      <w:proofErr w:type="spellStart"/>
      <w:r>
        <w:t>mājas</w:t>
      </w:r>
      <w:proofErr w:type="spellEnd"/>
      <w:r>
        <w:t xml:space="preserve"> </w:t>
      </w:r>
      <w:proofErr w:type="spellStart"/>
      <w:r>
        <w:t>lapa</w:t>
      </w:r>
      <w:proofErr w:type="spellEnd"/>
      <w:r>
        <w:t xml:space="preserve"> </w:t>
      </w:r>
      <w:hyperlink r:id="rId2" w:history="1">
        <w:r w:rsidRPr="003F0F29">
          <w:rPr>
            <w:rStyle w:val="Hyperlink"/>
          </w:rPr>
          <w:t>www.lm.gov.lv</w:t>
        </w:r>
      </w:hyperlink>
      <w:r>
        <w:t xml:space="preserve"> </w:t>
      </w:r>
    </w:p>
  </w:footnote>
  <w:footnote w:id="3">
    <w:p w:rsidR="00A25AD4" w:rsidRPr="00A47ED3" w:rsidRDefault="00A25AD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Adopcijas</w:t>
      </w:r>
      <w:proofErr w:type="spellEnd"/>
      <w:r>
        <w:t xml:space="preserve"> </w:t>
      </w:r>
      <w:proofErr w:type="spellStart"/>
      <w:r>
        <w:t>tendences</w:t>
      </w:r>
      <w:proofErr w:type="spellEnd"/>
      <w:r>
        <w:t xml:space="preserve"> </w:t>
      </w:r>
      <w:hyperlink r:id="rId3" w:history="1">
        <w:r w:rsidRPr="003F0F29">
          <w:rPr>
            <w:rStyle w:val="Hyperlink"/>
          </w:rPr>
          <w:t>http://www.lm.gov.lv/text/1052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A3E"/>
    <w:multiLevelType w:val="hybridMultilevel"/>
    <w:tmpl w:val="0A34E81C"/>
    <w:lvl w:ilvl="0" w:tplc="09708CC6">
      <w:start w:val="4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2409"/>
    <w:multiLevelType w:val="hybridMultilevel"/>
    <w:tmpl w:val="4EFE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737"/>
    <w:multiLevelType w:val="hybridMultilevel"/>
    <w:tmpl w:val="F978268A"/>
    <w:lvl w:ilvl="0" w:tplc="38FC8656">
      <w:numFmt w:val="bullet"/>
      <w:lvlText w:val="-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CFC4F1C"/>
    <w:multiLevelType w:val="hybridMultilevel"/>
    <w:tmpl w:val="5D5A9A12"/>
    <w:lvl w:ilvl="0" w:tplc="38FC8656">
      <w:numFmt w:val="bullet"/>
      <w:lvlText w:val="-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F275C"/>
    <w:multiLevelType w:val="hybridMultilevel"/>
    <w:tmpl w:val="29CAA30C"/>
    <w:lvl w:ilvl="0" w:tplc="9A2624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05EFA"/>
    <w:multiLevelType w:val="hybridMultilevel"/>
    <w:tmpl w:val="EE549B86"/>
    <w:lvl w:ilvl="0" w:tplc="3DC65F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502E"/>
    <w:multiLevelType w:val="hybridMultilevel"/>
    <w:tmpl w:val="B27A8AC6"/>
    <w:lvl w:ilvl="0" w:tplc="78DE4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216391"/>
    <w:multiLevelType w:val="hybridMultilevel"/>
    <w:tmpl w:val="122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54C39"/>
    <w:multiLevelType w:val="hybridMultilevel"/>
    <w:tmpl w:val="8B68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3C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95C41"/>
    <w:multiLevelType w:val="hybridMultilevel"/>
    <w:tmpl w:val="0A6AFD16"/>
    <w:lvl w:ilvl="0" w:tplc="38FC8656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31"/>
    <w:rsid w:val="000E3CAC"/>
    <w:rsid w:val="000F3C05"/>
    <w:rsid w:val="0016503B"/>
    <w:rsid w:val="0020620D"/>
    <w:rsid w:val="002421C6"/>
    <w:rsid w:val="00285FF7"/>
    <w:rsid w:val="005118C0"/>
    <w:rsid w:val="00605431"/>
    <w:rsid w:val="006F69B5"/>
    <w:rsid w:val="007D1460"/>
    <w:rsid w:val="007D78BA"/>
    <w:rsid w:val="008340B1"/>
    <w:rsid w:val="0092568F"/>
    <w:rsid w:val="00A25AD4"/>
    <w:rsid w:val="00A47ED3"/>
    <w:rsid w:val="00AD1062"/>
    <w:rsid w:val="00B709E1"/>
    <w:rsid w:val="00BB6CD4"/>
    <w:rsid w:val="00D107DB"/>
    <w:rsid w:val="00D3550A"/>
    <w:rsid w:val="00E23377"/>
    <w:rsid w:val="00F5043D"/>
    <w:rsid w:val="00F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4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07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043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8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8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4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07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043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8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8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m.gov.lv/text/1052" TargetMode="External"/><Relationship Id="rId2" Type="http://schemas.openxmlformats.org/officeDocument/2006/relationships/hyperlink" Target="http://www.lm.gov.lv" TargetMode="External"/><Relationship Id="rId1" Type="http://schemas.openxmlformats.org/officeDocument/2006/relationships/hyperlink" Target="http://www.bti.gov.lv/lat/arpusgimenes_aprupe/ilgstosas_socialas_aprupes_iestades_un_socialas_rehabilitacijas_institucijas_un_krizes_centri/?doc=2476&amp;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FC0B-AFCE-4D80-BD78-A713DE68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Veispale</dc:creator>
  <cp:lastModifiedBy>Kristine Veispale</cp:lastModifiedBy>
  <cp:revision>5</cp:revision>
  <dcterms:created xsi:type="dcterms:W3CDTF">2012-09-25T11:24:00Z</dcterms:created>
  <dcterms:modified xsi:type="dcterms:W3CDTF">2012-10-03T11:36:00Z</dcterms:modified>
</cp:coreProperties>
</file>